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Evidence Based Capability Assessment</w:t>
      </w:r>
    </w:p>
    <w:p>
      <w:pPr>
        <w:pStyle w:val="Subtitle"/>
      </w:pPr>
      <w:r>
        <w:t>DAMA SKILL · assessing-data-management-maturity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Assessment purpose scope and sample · scope</w:t>
      </w:r>
    </w:p>
    <w:p>
      <w:r>
        <w:t>Define the decision, participating units, sample method, and limits on generalization.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Framework and rating rubric · rubric</w:t>
      </w:r>
    </w:p>
    <w:p>
      <w:r>
        <w:t>Explain capability criteria, evidence strength, tailoring, and rating ceiling.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Evidence triangulation · evidence</w:t>
      </w:r>
    </w:p>
    <w:p>
      <w:r>
        <w:t>Compare interviews, documents, and operating records with dates and disagreements.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Current and business-required target · current_target</w:t>
      </w:r>
    </w:p>
    <w:p>
      <w:r>
        <w:t>Separate evidence-supported current state from business-justified target.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Disagreements and uncertainty · uncertainty</w:t>
      </w:r>
    </w:p>
    <w:p>
      <w:r>
        <w:t>Record sampling blind spots, weak evidence, and cases where one score is unjustified.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Improvement portfolio and roadmap · roadmap</w:t>
      </w:r>
    </w:p>
    <w:p>
      <w:r>
        <w:t>Prioritize actions by business impact, dependencies, cost, and readiness.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Communication reassessment and acceptance · reassessment</w:t>
      </w:r>
    </w:p>
    <w:p>
      <w:r>
        <w:t>Set result validation, owners, reassessment cadence, and completion evidence.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Based Capability Assessment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