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证据型能力评估报告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assessing-data-management-maturity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评估目标范围与抽样 · scope</w:t>
      </w:r>
    </w:p>
    <w:p>
      <w:r>
        <w:rPr>
          <w:rFonts w:ascii="Arial Unicode MS" w:hAnsi="Arial Unicode MS" w:eastAsia="Arial Unicode MS"/>
        </w:rPr>
        <w:t>定义要支持的决定、参与单位、抽样方法和不能概括的范围。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框架与评分准则 · rubric</w:t>
      </w:r>
    </w:p>
    <w:p>
      <w:r>
        <w:rPr>
          <w:rFonts w:ascii="Arial Unicode MS" w:hAnsi="Arial Unicode MS" w:eastAsia="Arial Unicode MS"/>
        </w:rPr>
        <w:t>说明能力准则、证据强度、裁剪和评分上限。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证据三角验证 · evidence</w:t>
      </w:r>
    </w:p>
    <w:p>
      <w:r>
        <w:rPr>
          <w:rFonts w:ascii="Arial Unicode MS" w:hAnsi="Arial Unicode MS" w:eastAsia="Arial Unicode MS"/>
        </w:rPr>
        <w:t>比对访谈、文档和运行记录并保留日期与分歧。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现状与业务目标 · current_target</w:t>
      </w:r>
    </w:p>
    <w:p>
      <w:r>
        <w:rPr>
          <w:rFonts w:ascii="Arial Unicode MS" w:hAnsi="Arial Unicode MS" w:eastAsia="Arial Unicode MS"/>
        </w:rPr>
        <w:t>分别给出证据支持的现状和有业务理由的目标。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分歧与不确定性 · uncertainty</w:t>
      </w:r>
    </w:p>
    <w:p>
      <w:r>
        <w:rPr>
          <w:rFonts w:ascii="Arial Unicode MS" w:hAnsi="Arial Unicode MS" w:eastAsia="Arial Unicode MS"/>
        </w:rPr>
        <w:t>记录样本盲点、薄弱证据和不能得出单一分数的情形。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改进组合与路线图 · roadmap</w:t>
      </w:r>
    </w:p>
    <w:p>
      <w:r>
        <w:rPr>
          <w:rFonts w:ascii="Arial Unicode MS" w:hAnsi="Arial Unicode MS" w:eastAsia="Arial Unicode MS"/>
        </w:rPr>
        <w:t>按业务影响、依赖、成本和准备度确定优先动作。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沟通复评与验收 · reassessment</w:t>
      </w:r>
    </w:p>
    <w:p>
      <w:r>
        <w:rPr>
          <w:rFonts w:ascii="Arial Unicode MS" w:hAnsi="Arial Unicode MS" w:eastAsia="Arial Unicode MS"/>
        </w:rPr>
        <w:t>确定结果确认、责任人、复评频率和完成证据。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证据型能力评估报告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