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当前目标与过渡架构决策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designing-data-architecture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业务目标与范围 · business_outcome</w:t>
      </w:r>
    </w:p>
    <w:p>
      <w:r>
        <w:rPr>
          <w:rFonts w:ascii="Arial Unicode MS" w:hAnsi="Arial Unicode MS" w:eastAsia="Arial Unicode MS"/>
        </w:rPr>
        <w:t>说明架构必须支持的业务能力、决定和边界。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现状证据 · current_state</w:t>
      </w:r>
    </w:p>
    <w:p>
      <w:r>
        <w:rPr>
          <w:rFonts w:ascii="Arial Unicode MS" w:hAnsi="Arial Unicode MS" w:eastAsia="Arial Unicode MS"/>
        </w:rPr>
        <w:t>以系统、数据流、责任和已知问题描述现状，并标明证据日期。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原则与需求 · principles</w:t>
      </w:r>
    </w:p>
    <w:p>
      <w:r>
        <w:rPr>
          <w:rFonts w:ascii="Arial Unicode MS" w:hAnsi="Arial Unicode MS" w:eastAsia="Arial Unicode MS"/>
        </w:rPr>
        <w:t>区分必须遵守的约束和可权衡的设计偏好。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目标架构 · target_state</w:t>
      </w:r>
    </w:p>
    <w:p>
      <w:r>
        <w:rPr>
          <w:rFonts w:ascii="Arial Unicode MS" w:hAnsi="Arial Unicode MS" w:eastAsia="Arial Unicode MS"/>
        </w:rPr>
        <w:t>描述能力、数据边界、接口、治理和运行责任的目标状态。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过渡架构 · transition</w:t>
      </w:r>
    </w:p>
    <w:p>
      <w:r>
        <w:rPr>
          <w:rFonts w:ascii="Arial Unicode MS" w:hAnsi="Arial Unicode MS" w:eastAsia="Arial Unicode MS"/>
        </w:rPr>
        <w:t>定义可交付的过渡状态、迁移顺序和兼容安排。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关键决定与权衡 · tradeoffs</w:t>
      </w:r>
    </w:p>
    <w:p>
      <w:r>
        <w:rPr>
          <w:rFonts w:ascii="Arial Unicode MS" w:hAnsi="Arial Unicode MS" w:eastAsia="Arial Unicode MS"/>
        </w:rPr>
        <w:t>记录备选方案、取舍、批准角色和重新评估条件。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符合性与验收 · conformance</w:t>
      </w:r>
    </w:p>
    <w:p>
      <w:r>
        <w:rPr>
          <w:rFonts w:ascii="Arial Unicode MS" w:hAnsi="Arial Unicode MS" w:eastAsia="Arial Unicode MS"/>
        </w:rPr>
        <w:t>列出标准、例外、测试和视图审查证据。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依赖路线图 · roadmap</w:t>
      </w:r>
    </w:p>
    <w:p>
      <w:r>
        <w:rPr>
          <w:rFonts w:ascii="Arial Unicode MS" w:hAnsi="Arial Unicode MS" w:eastAsia="Arial Unicode MS"/>
        </w:rPr>
        <w:t>将能力和数据依赖映射到阶段门及可验证出口。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当前目标与过渡架构决策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