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数据治理章程与决策机制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establishing-data-governance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治理章程与价值 · charter</w:t>
      </w:r>
    </w:p>
    <w:p>
      <w:r>
        <w:rPr>
          <w:rFonts w:ascii="Arial Unicode MS" w:hAnsi="Arial Unicode MS" w:eastAsia="Arial Unicode MS"/>
        </w:rPr>
        <w:t>写明治理范围、业务价值、授权层级和参与角色。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决策权 · decision_rights</w:t>
      </w:r>
    </w:p>
    <w:p>
      <w:r>
        <w:rPr>
          <w:rFonts w:ascii="Arial Unicode MS" w:hAnsi="Arial Unicode MS" w:eastAsia="Arial Unicode MS"/>
        </w:rPr>
        <w:t>为术语、标准、质量和例外明确唯一最终批准权。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政策与标准层级 · policy</w:t>
      </w:r>
    </w:p>
    <w:p>
      <w:r>
        <w:rPr>
          <w:rFonts w:ascii="Arial Unicode MS" w:hAnsi="Arial Unicode MS" w:eastAsia="Arial Unicode MS"/>
        </w:rPr>
        <w:t>区分政策、标准、指南和流程及其生效和修订规则。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所有权与管家职责 · stewardship</w:t>
      </w:r>
    </w:p>
    <w:p>
      <w:r>
        <w:rPr>
          <w:rFonts w:ascii="Arial Unicode MS" w:hAnsi="Arial Unicode MS" w:eastAsia="Arial Unicode MS"/>
        </w:rPr>
        <w:t>说明业务所有者、数据管家和技术团队的活动级责任。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议题与例外 · exceptions</w:t>
      </w:r>
    </w:p>
    <w:p>
      <w:r>
        <w:rPr>
          <w:rFonts w:ascii="Arial Unicode MS" w:hAnsi="Arial Unicode MS" w:eastAsia="Arial Unicode MS"/>
        </w:rPr>
        <w:t>设计提交、裁决、到期、补偿控制和升级闭环。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术语治理 · glossary</w:t>
      </w:r>
    </w:p>
    <w:p>
      <w:r>
        <w:rPr>
          <w:rFonts w:ascii="Arial Unicode MS" w:hAnsi="Arial Unicode MS" w:eastAsia="Arial Unicode MS"/>
        </w:rPr>
        <w:t>规定术语提议、争议、批准、发布和废止的版本流程。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实施与记分卡 · scorecard</w:t>
      </w:r>
    </w:p>
    <w:p>
      <w:r>
        <w:rPr>
          <w:rFonts w:ascii="Arial Unicode MS" w:hAnsi="Arial Unicode MS" w:eastAsia="Arial Unicode MS"/>
        </w:rPr>
        <w:t>定义采纳、决策时效、例外和问题关闭的可验证指标。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批准与验收 · acceptance_evidence</w:t>
      </w:r>
    </w:p>
    <w:p>
      <w:r>
        <w:rPr>
          <w:rFonts w:ascii="Arial Unicode MS" w:hAnsi="Arial Unicode MS" w:eastAsia="Arial Unicode MS"/>
        </w:rPr>
        <w:t>列出章程、角色和流程生效所需批准及运行证据。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数据治理章程与决策机制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