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 w:eastAsia="Arial Unicode MS"/>
        </w:rPr>
        <w:t>接口契约与运行设计</w:t>
      </w:r>
    </w:p>
    <w:p>
      <w:pPr>
        <w:pStyle w:val="Subtitle"/>
      </w:pPr>
      <w:r>
        <w:rPr>
          <w:rFonts w:ascii="Arial Unicode MS" w:hAnsi="Arial Unicode MS" w:eastAsia="Arial Unicode MS"/>
        </w:rPr>
        <w:t>DAMA SKILL · integrating-data</w:t>
      </w:r>
    </w:p>
    <w:p>
      <w:pPr>
        <w:pStyle w:val="Heading1"/>
      </w:pPr>
      <w:r>
        <w:rPr>
          <w:rFonts w:ascii="Arial Unicode MS" w:hAnsi="Arial Unicode MS" w:eastAsia="Arial Unicode MS"/>
        </w:rPr>
        <w:t>基本信息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工件编号 · artifact_id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项目 · project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适用技能 · skill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版本 · version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日期 · 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状态 · status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编写人 · author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负责人 · owner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批准人 · approver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目的 · purpose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业务结果 · business_outcome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范围与排除项 · scope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输入与来源 · source_inputs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假设与约束 · assumptions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 · decisions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决定依据 · rationale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风险 · risks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例外 · exceptions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未决项 · open_items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期限 · due_date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验收标准 · acceptance_criteria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证据位置 · evidence_location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评审决定 · reviewer_decision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下一阶段门 · next_gate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Arial Unicode MS" w:hAnsi="Arial Unicode MS" w:eastAsia="Arial Unicode MS"/>
        </w:rPr>
        <w:t>专题分析与决策</w:t>
      </w:r>
    </w:p>
    <w:p>
      <w:pPr>
        <w:pStyle w:val="Heading2"/>
      </w:pPr>
      <w:r>
        <w:rPr>
          <w:rFonts w:ascii="Arial Unicode MS" w:hAnsi="Arial Unicode MS" w:eastAsia="Arial Unicode MS"/>
        </w:rPr>
        <w:t>范围与业务要求 · scope</w:t>
      </w:r>
    </w:p>
    <w:p>
      <w:r>
        <w:rPr>
          <w:rFonts w:ascii="Arial Unicode MS" w:hAnsi="Arial Unicode MS" w:eastAsia="Arial Unicode MS"/>
        </w:rPr>
        <w:t>说明数据来源、消费者、延迟、完整性与失败容忍度。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来源能力与模式选择 · source_capability</w:t>
      </w:r>
    </w:p>
    <w:p>
      <w:r>
        <w:rPr>
          <w:rFonts w:ascii="Arial Unicode MS" w:hAnsi="Arial Unicode MS" w:eastAsia="Arial Unicode MS"/>
        </w:rPr>
        <w:t>比较批量、CDC、流、API 或共享方式与约束。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版本化接口契约 · interface_contract</w:t>
      </w:r>
    </w:p>
    <w:p>
      <w:r>
        <w:rPr>
          <w:rFonts w:ascii="Arial Unicode MS" w:hAnsi="Arial Unicode MS" w:eastAsia="Arial Unicode MS"/>
        </w:rPr>
        <w:t>定义所有者、模式、语义、SLA、版本和变更通知。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映射与血缘 · mapping</w:t>
      </w:r>
    </w:p>
    <w:p>
      <w:r>
        <w:rPr>
          <w:rFonts w:ascii="Arial Unicode MS" w:hAnsi="Arial Unicode MS" w:eastAsia="Arial Unicode MS"/>
        </w:rPr>
        <w:t>记录字段级转换、质量规则、目标语义和来源追溯。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错误隔离与重放 · replay</w:t>
      </w:r>
    </w:p>
    <w:p>
      <w:r>
        <w:rPr>
          <w:rFonts w:ascii="Arial Unicode MS" w:hAnsi="Arial Unicode MS" w:eastAsia="Arial Unicode MS"/>
        </w:rPr>
        <w:t>规定幂等、顺序、重试、死信、重放与人工恢复。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模式演进 · schema_evolution</w:t>
      </w:r>
    </w:p>
    <w:p>
      <w:r>
        <w:rPr>
          <w:rFonts w:ascii="Arial Unicode MS" w:hAnsi="Arial Unicode MS" w:eastAsia="Arial Unicode MS"/>
        </w:rPr>
        <w:t>定义兼容窗口、破坏性变更批准和消费者迁移。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对账与质量 · reconciliation</w:t>
      </w:r>
    </w:p>
    <w:p>
      <w:r>
        <w:rPr>
          <w:rFonts w:ascii="Arial Unicode MS" w:hAnsi="Arial Unicode MS" w:eastAsia="Arial Unicode MS"/>
        </w:rPr>
        <w:t>核对记录、业务总量、拒收、延迟和异常关闭。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监控与验收 · operations</w:t>
      </w:r>
    </w:p>
    <w:p>
      <w:r>
        <w:rPr>
          <w:rFonts w:ascii="Arial Unicode MS" w:hAnsi="Arial Unicode MS" w:eastAsia="Arial Unicode MS"/>
        </w:rPr>
        <w:t>明确告警、运行负责人、阶段门和消费者验收证据。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/>
      </w:rPr>
      <w:t>DAMA · 项目交付模板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 Unicode MS" w:hAnsi="Arial Unicode MS" w:eastAsia="Arial Unicode M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接口契约与运行设计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