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 w:eastAsia="Arial Unicode MS"/>
        </w:rPr>
        <w:t>综合项目计划与阶段门记录</w:t>
      </w:r>
    </w:p>
    <w:p>
      <w:pPr>
        <w:pStyle w:val="Subtitle"/>
      </w:pPr>
      <w:r>
        <w:rPr>
          <w:rFonts w:ascii="Arial Unicode MS" w:hAnsi="Arial Unicode MS" w:eastAsia="Arial Unicode MS"/>
        </w:rPr>
        <w:t>DAMA SKILL · managing-data-projects</w:t>
      </w:r>
    </w:p>
    <w:p>
      <w:pPr>
        <w:pStyle w:val="Heading1"/>
      </w:pPr>
      <w:r>
        <w:rPr>
          <w:rFonts w:ascii="Arial Unicode MS" w:hAnsi="Arial Unicode MS" w:eastAsia="Arial Unicode MS"/>
        </w:rPr>
        <w:t>基本信息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工件编号 · artifact_id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项目 · project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适用技能 · skill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版本 · version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日期 · 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状态 · status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编写人 · author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负责人 · owner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批准人 · approver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目的 · purpose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业务结果 · business_outcome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范围与排除项 · scope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输入与来源 · source_inputs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假设与约束 · assumptions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 · decisions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决定依据 · rationale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风险 · risks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例外 · exceptions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未决项 · open_items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期限 · due_date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验收标准 · acceptance_criteria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证据位置 · evidence_location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评审决定 · reviewer_decision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下一阶段门 · next_gate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Arial Unicode MS" w:hAnsi="Arial Unicode MS" w:eastAsia="Arial Unicode MS"/>
        </w:rPr>
        <w:t>专题分析与决策</w:t>
      </w:r>
    </w:p>
    <w:p>
      <w:pPr>
        <w:pStyle w:val="Heading2"/>
      </w:pPr>
      <w:r>
        <w:rPr>
          <w:rFonts w:ascii="Arial Unicode MS" w:hAnsi="Arial Unicode MS" w:eastAsia="Arial Unicode MS"/>
        </w:rPr>
        <w:t>业务结果 · business_outcome</w:t>
      </w:r>
    </w:p>
    <w:p>
      <w:r>
        <w:rPr>
          <w:rFonts w:ascii="Arial Unicode MS" w:hAnsi="Arial Unicode MS" w:eastAsia="Arial Unicode MS"/>
        </w:rPr>
        <w:t>说明要改善的决策或流程、受益者和观察结果的方法。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范围与裁剪 · scope</w:t>
      </w:r>
    </w:p>
    <w:p>
      <w:r>
        <w:rPr>
          <w:rFonts w:ascii="Arial Unicode MS" w:hAnsi="Arial Unicode MS" w:eastAsia="Arial Unicode MS"/>
        </w:rPr>
        <w:t>列出纳入和排除的数据域、系统及重新纳入的触发条件。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假设与约束 · assumptions</w:t>
      </w:r>
    </w:p>
    <w:p>
      <w:r>
        <w:rPr>
          <w:rFonts w:ascii="Arial Unicode MS" w:hAnsi="Arial Unicode MS" w:eastAsia="Arial Unicode MS"/>
        </w:rPr>
        <w:t>区分已核实事实、工作假设和会改变方案的未决问题。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知识域选择 · domain_route</w:t>
      </w:r>
    </w:p>
    <w:p>
      <w:r>
        <w:rPr>
          <w:rFonts w:ascii="Arial Unicode MS" w:hAnsi="Arial Unicode MS" w:eastAsia="Arial Unicode MS"/>
        </w:rPr>
        <w:t>区分主、基础和支持知识域，并记录选择及不选择理由。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活动与依赖 · dependencies</w:t>
      </w:r>
    </w:p>
    <w:p>
      <w:r>
        <w:rPr>
          <w:rFonts w:ascii="Arial Unicode MS" w:hAnsi="Arial Unicode MS" w:eastAsia="Arial Unicode MS"/>
        </w:rPr>
        <w:t>按前置决定、Plan、Control、Develop 和 Operate 排列工作。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角色与决策权 · decision_rights</w:t>
      </w:r>
    </w:p>
    <w:p>
      <w:r>
        <w:rPr>
          <w:rFonts w:ascii="Arial Unicode MS" w:hAnsi="Arial Unicode MS" w:eastAsia="Arial Unicode MS"/>
        </w:rPr>
        <w:t>每项关键决定确定唯一最终负责角色及风险否决角色。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风险与控制 · risks_controls</w:t>
      </w:r>
    </w:p>
    <w:p>
      <w:r>
        <w:rPr>
          <w:rFonts w:ascii="Arial Unicode MS" w:hAnsi="Arial Unicode MS" w:eastAsia="Arial Unicode MS"/>
        </w:rPr>
        <w:t>记录风险事件、控制、阈值、升级时限及残余风险批准。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交付物与验收证据 · acceptance_evidence</w:t>
      </w:r>
    </w:p>
    <w:p>
      <w:r>
        <w:rPr>
          <w:rFonts w:ascii="Arial Unicode MS" w:hAnsi="Arial Unicode MS" w:eastAsia="Arial Unicode MS"/>
        </w:rPr>
        <w:t>为每个工作包写出可审阅工件、验收方法和证据位置。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下一阶段门 · next_gate</w:t>
      </w:r>
    </w:p>
    <w:p>
      <w:r>
        <w:rPr>
          <w:rFonts w:ascii="Arial Unicode MS" w:hAnsi="Arial Unicode MS" w:eastAsia="Arial Unicode MS"/>
        </w:rPr>
        <w:t>写明 Go、Conditional Go、Hold、Rework 或 Stop 的出口条件。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 Unicode MS" w:hAnsi="Arial Unicode MS" w:eastAsia="Arial Unicode MS"/>
      </w:rPr>
      <w:t>DAMA · 项目交付模板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 Unicode MS" w:hAnsi="Arial Unicode MS" w:eastAsia="Arial Unicode M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综合项目计划与阶段门记录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