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内容生命周期与保留设计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managing-documents-and-content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内容范围与紧急保全 · content_scope</w:t>
      </w:r>
    </w:p>
    <w:p>
      <w:r>
        <w:rPr>
          <w:rFonts w:ascii="Arial Unicode MS" w:hAnsi="Arial Unicode MS" w:eastAsia="Arial Unicode MS"/>
        </w:rPr>
        <w:t>确定记录、工作副本、来源库和需要立即保全的内容。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分类与内容模型 · taxonomy</w:t>
      </w:r>
    </w:p>
    <w:p>
      <w:r>
        <w:rPr>
          <w:rFonts w:ascii="Arial Unicode MS" w:hAnsi="Arial Unicode MS" w:eastAsia="Arial Unicode MS"/>
        </w:rPr>
        <w:t>定义分类、受控词表、必填元数据和版本规则。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捕获与发布 · capture</w:t>
      </w:r>
    </w:p>
    <w:p>
      <w:r>
        <w:rPr>
          <w:rFonts w:ascii="Arial Unicode MS" w:hAnsi="Arial Unicode MS" w:eastAsia="Arial Unicode MS"/>
        </w:rPr>
        <w:t>规定内容进入、校验、审批、发布及替代版本流程。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访问与检索 · access_search</w:t>
      </w:r>
    </w:p>
    <w:p>
      <w:r>
        <w:rPr>
          <w:rFonts w:ascii="Arial Unicode MS" w:hAnsi="Arial Unicode MS" w:eastAsia="Arial Unicode MS"/>
        </w:rPr>
        <w:t>区分权限、敏感内容、检索需求和访问审计。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保留规则 · retention</w:t>
      </w:r>
    </w:p>
    <w:p>
      <w:r>
        <w:rPr>
          <w:rFonts w:ascii="Arial Unicode MS" w:hAnsi="Arial Unicode MS" w:eastAsia="Arial Unicode MS"/>
        </w:rPr>
        <w:t>记录触发事件、适用地域、保留期和批准来源。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保全与证据链 · legal_hold</w:t>
      </w:r>
    </w:p>
    <w:p>
      <w:r>
        <w:rPr>
          <w:rFonts w:ascii="Arial Unicode MS" w:hAnsi="Arial Unicode MS" w:eastAsia="Arial Unicode MS"/>
        </w:rPr>
        <w:t>说明保全启动、冻结、解除、取证和可追溯证据。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处置与退役 · disposition</w:t>
      </w:r>
    </w:p>
    <w:p>
      <w:r>
        <w:rPr>
          <w:rFonts w:ascii="Arial Unicode MS" w:hAnsi="Arial Unicode MS" w:eastAsia="Arial Unicode MS"/>
        </w:rPr>
        <w:t>定义到期检查、例外、批准、销毁和恢复验证。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迁移与审计验收 · acceptance_evidence</w:t>
      </w:r>
    </w:p>
    <w:p>
      <w:r>
        <w:rPr>
          <w:rFonts w:ascii="Arial Unicode MS" w:hAnsi="Arial Unicode MS" w:eastAsia="Arial Unicode MS"/>
        </w:rPr>
        <w:t>核查搜索、保留、迁移、连续性和审计记录。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内容生命周期与保留设计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