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 Unicode MS" w:hAnsi="Arial Unicode MS" w:eastAsia="Arial Unicode MS"/>
        </w:rPr>
        <w:t>数据域权威与生存规则设计</w:t>
      </w:r>
    </w:p>
    <w:p>
      <w:pPr>
        <w:pStyle w:val="Subtitle"/>
      </w:pPr>
      <w:r>
        <w:rPr>
          <w:rFonts w:ascii="Arial Unicode MS" w:hAnsi="Arial Unicode MS" w:eastAsia="Arial Unicode MS"/>
        </w:rPr>
        <w:t>DAMA SKILL · managing-reference-and-master-data</w:t>
      </w:r>
    </w:p>
    <w:p>
      <w:pPr>
        <w:pStyle w:val="Heading1"/>
      </w:pPr>
      <w:r>
        <w:rPr>
          <w:rFonts w:ascii="Arial Unicode MS" w:hAnsi="Arial Unicode MS" w:eastAsia="Arial Unicode MS"/>
        </w:rPr>
        <w:t>基本信息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工件编号 · artifact_id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项目 · project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适用技能 · skill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版本 · version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日期 · date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状态 · status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编写人 · author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负责人 · owner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批准人 · approver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目的 · purpose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业务结果 · business_outcome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范围与排除项 · scope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输入与来源 · source_inputs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假设与约束 · assumptions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决定 · decisions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决定依据 · rationale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风险 · risks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例外 · exceptions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未决项 · open_items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期限 · due_date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验收标准 · acceptance_criteria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证据位置 · evidence_location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评审决定 · reviewer_decision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  <w:tr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>下一阶段门 · next_gate</w:t>
            </w:r>
          </w:p>
        </w:tc>
        <w:tc>
          <w:tcPr>
            <w:tcW w:type="dxa" w:w="4968"/>
          </w:tcPr>
          <w:p>
            <w:r>
              <w:rPr>
                <w:rFonts w:ascii="Arial Unicode MS" w:hAnsi="Arial Unicode MS" w:eastAsia="Arial Unicode MS"/>
              </w:rPr>
              <w:t xml:space="preserve"> </w:t>
            </w:r>
          </w:p>
        </w:tc>
      </w:tr>
    </w:tbl>
    <w:p>
      <w:pPr>
        <w:pStyle w:val="Heading1"/>
      </w:pPr>
      <w:r>
        <w:rPr>
          <w:rFonts w:ascii="Arial Unicode MS" w:hAnsi="Arial Unicode MS" w:eastAsia="Arial Unicode MS"/>
        </w:rPr>
        <w:t>专题分析与决策</w:t>
      </w:r>
    </w:p>
    <w:p>
      <w:pPr>
        <w:pStyle w:val="Heading2"/>
      </w:pPr>
      <w:r>
        <w:rPr>
          <w:rFonts w:ascii="Arial Unicode MS" w:hAnsi="Arial Unicode MS" w:eastAsia="Arial Unicode MS"/>
        </w:rPr>
        <w:t>数据域章程 · domain_charter</w:t>
      </w:r>
    </w:p>
    <w:p>
      <w:r>
        <w:rPr>
          <w:rFonts w:ascii="Arial Unicode MS" w:hAnsi="Arial Unicode MS" w:eastAsia="Arial Unicode MS"/>
        </w:rPr>
        <w:t>界定共享实体或代码集、业务用途、所有者和消费者。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来源与权威 · authority</w:t>
      </w:r>
    </w:p>
    <w:p>
      <w:r>
        <w:rPr>
          <w:rFonts w:ascii="Arial Unicode MS" w:hAnsi="Arial Unicode MS" w:eastAsia="Arial Unicode MS"/>
        </w:rPr>
        <w:t>按属性或事件明确权威来源、裁决权和分发关系。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全局身份与交叉引用 · global_identity</w:t>
      </w:r>
    </w:p>
    <w:p>
      <w:r>
        <w:rPr>
          <w:rFonts w:ascii="Arial Unicode MS" w:hAnsi="Arial Unicode MS" w:eastAsia="Arial Unicode MS"/>
        </w:rPr>
        <w:t>定义全局 ID、源标识映射、生成与废止规则。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黄金记录与生存规则 · survivorship</w:t>
      </w:r>
    </w:p>
    <w:p>
      <w:r>
        <w:rPr>
          <w:rFonts w:ascii="Arial Unicode MS" w:hAnsi="Arial Unicode MS" w:eastAsia="Arial Unicode MS"/>
        </w:rPr>
        <w:t>写出来源优先、时效、冲突、人工裁决与可追溯规则。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匹配合并与拆分 · merge_split</w:t>
      </w:r>
    </w:p>
    <w:p>
      <w:r>
        <w:rPr>
          <w:rFonts w:ascii="Arial Unicode MS" w:hAnsi="Arial Unicode MS" w:eastAsia="Arial Unicode MS"/>
        </w:rPr>
        <w:t>覆盖误合并防护、拆分回退、版本和独立测试。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层级与参考代码 · hierarchies</w:t>
      </w:r>
    </w:p>
    <w:p>
      <w:r>
        <w:rPr>
          <w:rFonts w:ascii="Arial Unicode MS" w:hAnsi="Arial Unicode MS" w:eastAsia="Arial Unicode MS"/>
        </w:rPr>
        <w:t>规定层级变更、代码集版本、生效与向后兼容。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发布与回执 · distribution</w:t>
      </w:r>
    </w:p>
    <w:p>
      <w:r>
        <w:rPr>
          <w:rFonts w:ascii="Arial Unicode MS" w:hAnsi="Arial Unicode MS" w:eastAsia="Arial Unicode MS"/>
        </w:rPr>
        <w:t>说明发布契约、消费方回执、对账和纠错。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p>
      <w:pPr>
        <w:pStyle w:val="Heading2"/>
      </w:pPr>
      <w:r>
        <w:rPr>
          <w:rFonts w:ascii="Arial Unicode MS" w:hAnsi="Arial Unicode MS" w:eastAsia="Arial Unicode MS"/>
        </w:rPr>
        <w:t>质量与运行验收 · acceptance_evidence</w:t>
      </w:r>
    </w:p>
    <w:p>
      <w:r>
        <w:rPr>
          <w:rFonts w:ascii="Arial Unicode MS" w:hAnsi="Arial Unicode MS" w:eastAsia="Arial Unicode MS"/>
        </w:rPr>
        <w:t>列出管家工作流、质量指标、例外和阶段门证据。</w:t>
      </w:r>
    </w:p>
    <w:p>
      <w:pPr>
        <w:spacing w:after="240"/>
      </w:pPr>
      <w:r>
        <w:rPr>
          <w:rFonts w:ascii="Arial Unicode MS" w:hAnsi="Arial Unicode MS" w:eastAsia="Arial Unicode MS"/>
        </w:rPr>
        <w:t xml:space="preserve"> 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 Unicode MS" w:hAnsi="Arial Unicode MS" w:eastAsia="Arial Unicode MS"/>
      </w:rPr>
      <w:t>DAMA · 项目交付模板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 Unicode MS" w:hAnsi="Arial Unicode MS" w:eastAsia="Arial Unicode M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71717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 Unicode MS" w:hAnsi="Arial Unicode MS" w:eastAsia="Arial Unicode MS"/>
      <w:b/>
      <w:bCs/>
      <w:color w:val="171717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 Unicode MS" w:hAnsi="Arial Unicode MS" w:eastAsia="Arial Unicode MS"/>
      <w:color w:val="171717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数据域权威与生存规则设计</dc:title>
  <dc:subject/>
  <dc:creator>python-docx</dc:creator>
  <cp:keywords/>
  <dc:description>generated by python-docx</dc:description>
  <cp:lastModifiedBy/>
  <cp:revision>1</cp:revision>
  <dcterms:created xsi:type="dcterms:W3CDTF">2026-09-24T00:00:00Z</dcterms:created>
  <dcterms:modified xsi:type="dcterms:W3CDTF">2026-09-24T00:00:00Z</dcterms:modified>
  <cp:category/>
</cp:coreProperties>
</file>