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数据模型规范与评审记录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modeling-data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业务用例与范围 · use_cases</w:t>
      </w:r>
    </w:p>
    <w:p>
      <w:r>
        <w:rPr>
          <w:rFonts w:ascii="Arial Unicode MS" w:hAnsi="Arial Unicode MS" w:eastAsia="Arial Unicode MS"/>
        </w:rPr>
        <w:t>说明模型支持的业务过程、决定和消费者。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模型层级与方案 · model_level</w:t>
      </w:r>
    </w:p>
    <w:p>
      <w:r>
        <w:rPr>
          <w:rFonts w:ascii="Arial Unicode MS" w:hAnsi="Arial Unicode MS" w:eastAsia="Arial Unicode MS"/>
        </w:rPr>
        <w:t>选择概念、逻辑或物理层级及关系、维度或其他适用模式。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需求与术语 · requirements</w:t>
      </w:r>
    </w:p>
    <w:p>
      <w:r>
        <w:rPr>
          <w:rFonts w:ascii="Arial Unicode MS" w:hAnsi="Arial Unicode MS" w:eastAsia="Arial Unicode MS"/>
        </w:rPr>
        <w:t>列出受控定义、术语冲突和业务规则的批准状态。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粒度键与关系 · grain_keys</w:t>
      </w:r>
    </w:p>
    <w:p>
      <w:r>
        <w:rPr>
          <w:rFonts w:ascii="Arial Unicode MS" w:hAnsi="Arial Unicode MS" w:eastAsia="Arial Unicode MS"/>
        </w:rPr>
        <w:t>固定实体或事实粒度、键、基数、可选性及时态规则。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模型与来源追溯 · traceability</w:t>
      </w:r>
    </w:p>
    <w:p>
      <w:r>
        <w:rPr>
          <w:rFonts w:ascii="Arial Unicode MS" w:hAnsi="Arial Unicode MS" w:eastAsia="Arial Unicode MS"/>
        </w:rPr>
        <w:t>追踪概念到逻辑到物理，以及源到目标的映射和偏差。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评审与批准 · review</w:t>
      </w:r>
    </w:p>
    <w:p>
      <w:r>
        <w:rPr>
          <w:rFonts w:ascii="Arial Unicode MS" w:hAnsi="Arial Unicode MS" w:eastAsia="Arial Unicode MS"/>
        </w:rPr>
        <w:t>记录需求、设计和物理可行性评审中的问题与决定。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版本与变更 · change_control</w:t>
      </w:r>
    </w:p>
    <w:p>
      <w:r>
        <w:rPr>
          <w:rFonts w:ascii="Arial Unicode MS" w:hAnsi="Arial Unicode MS" w:eastAsia="Arial Unicode MS"/>
        </w:rPr>
        <w:t>对破坏性变更记录影响、迁移、兼容和回退。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质量与验收证据 · acceptance_evidence</w:t>
      </w:r>
    </w:p>
    <w:p>
      <w:r>
        <w:rPr>
          <w:rFonts w:ascii="Arial Unicode MS" w:hAnsi="Arial Unicode MS" w:eastAsia="Arial Unicode MS"/>
        </w:rPr>
        <w:t>用场景、数据剖析和实现逆向核对模型正确性。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数据模型规范与评审记录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