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/>
        </w:rPr>
        <w:t>生产就绪与运行手册</w:t>
      </w:r>
    </w:p>
    <w:p>
      <w:pPr>
        <w:pStyle w:val="Subtitle"/>
      </w:pPr>
      <w:r>
        <w:rPr>
          <w:rFonts w:ascii="Arial Unicode MS" w:hAnsi="Arial Unicode MS" w:eastAsia="Arial Unicode MS"/>
        </w:rPr>
        <w:t>DAMA SKILL · operating-data-storage</w:t>
      </w:r>
    </w:p>
    <w:p>
      <w:pPr>
        <w:pStyle w:val="Heading1"/>
      </w:pPr>
      <w:r>
        <w:rPr>
          <w:rFonts w:ascii="Arial Unicode MS" w:hAnsi="Arial Unicode MS" w:eastAsia="Arial Unicode MS"/>
        </w:rPr>
        <w:t>基本信息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工件编号 · artifact_id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项目 · project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适用技能 · skill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版本 · version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日期 · 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状态 · status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编写人 · author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负责人 · owner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批准人 · approver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目的 · purpose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业务结果 · business_outcome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范围与排除项 · scope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输入与来源 · source_inputs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假设与约束 · assumptions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 · decisions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决定依据 · rationale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风险 · risks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例外 · exceptions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未决项 · open_items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期限 · due_date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验收标准 · acceptance_criteria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证据位置 · evidence_location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评审决定 · reviewer_decision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下一阶段门 · next_gate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Arial Unicode MS" w:hAnsi="Arial Unicode MS" w:eastAsia="Arial Unicode MS"/>
        </w:rPr>
        <w:t>专题分析与决策</w:t>
      </w:r>
    </w:p>
    <w:p>
      <w:pPr>
        <w:pStyle w:val="Heading2"/>
      </w:pPr>
      <w:r>
        <w:rPr>
          <w:rFonts w:ascii="Arial Unicode MS" w:hAnsi="Arial Unicode MS" w:eastAsia="Arial Unicode MS"/>
        </w:rPr>
        <w:t>服务范围与依赖 · service_scope</w:t>
      </w:r>
    </w:p>
    <w:p>
      <w:r>
        <w:rPr>
          <w:rFonts w:ascii="Arial Unicode MS" w:hAnsi="Arial Unicode MS" w:eastAsia="Arial Unicode MS"/>
        </w:rPr>
        <w:t>说明持久化服务、环境、消费者和上游下游依赖。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配置与容量基线 · configuration</w:t>
      </w:r>
    </w:p>
    <w:p>
      <w:r>
        <w:rPr>
          <w:rFonts w:ascii="Arial Unicode MS" w:hAnsi="Arial Unicode MS" w:eastAsia="Arial Unicode MS"/>
        </w:rPr>
        <w:t>记录版本、配置、容量预测、成本和性能测量。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服务目标 · slo</w:t>
      </w:r>
    </w:p>
    <w:p>
      <w:r>
        <w:rPr>
          <w:rFonts w:ascii="Arial Unicode MS" w:hAnsi="Arial Unicode MS" w:eastAsia="Arial Unicode MS"/>
        </w:rPr>
        <w:t>明确可用性、性能、RTO 和 RPO 的批准值与测点。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备份与恢复 · recovery</w:t>
      </w:r>
    </w:p>
    <w:p>
      <w:r>
        <w:rPr>
          <w:rFonts w:ascii="Arial Unicode MS" w:hAnsi="Arial Unicode MS" w:eastAsia="Arial Unicode MS"/>
        </w:rPr>
        <w:t>记录备份频率、恢复演练、数据完整性和失败动作。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变更与发布 · release_control</w:t>
      </w:r>
    </w:p>
    <w:p>
      <w:r>
        <w:rPr>
          <w:rFonts w:ascii="Arial Unicode MS" w:hAnsi="Arial Unicode MS" w:eastAsia="Arial Unicode MS"/>
        </w:rPr>
        <w:t>规定环境隔离、发布门、兼容、回滚和配置漂移检查。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监控值班与移交 · runbook</w:t>
      </w:r>
    </w:p>
    <w:p>
      <w:r>
        <w:rPr>
          <w:rFonts w:ascii="Arial Unicode MS" w:hAnsi="Arial Unicode MS" w:eastAsia="Arial Unicode MS"/>
        </w:rPr>
        <w:t>列出告警、事件、值班、升级和运营日历。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上线决定 · go_no_go</w:t>
      </w:r>
    </w:p>
    <w:p>
      <w:r>
        <w:rPr>
          <w:rFonts w:ascii="Arial Unicode MS" w:hAnsi="Arial Unicode MS" w:eastAsia="Arial Unicode MS"/>
        </w:rPr>
        <w:t>汇总测试证据、阻断项、例外和具名上线批准。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</w:rPr>
      <w:t>DAMA · 项目交付模板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 Unicode MS" w:hAnsi="Arial Unicode MS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生产就绪与运行手册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