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目标运行模式与岗位章程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organizing-data-management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业务与组织约束 · constraints</w:t>
      </w:r>
    </w:p>
    <w:p>
      <w:r>
        <w:rPr>
          <w:rFonts w:ascii="Arial Unicode MS" w:hAnsi="Arial Unicode MS" w:eastAsia="Arial Unicode MS"/>
        </w:rPr>
        <w:t>说明地域、业务单元、能力、资金和现有授权边界。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现状参与者与接口 · stakeholders</w:t>
      </w:r>
    </w:p>
    <w:p>
      <w:r>
        <w:rPr>
          <w:rFonts w:ascii="Arial Unicode MS" w:hAnsi="Arial Unicode MS" w:eastAsia="Arial Unicode MS"/>
        </w:rPr>
        <w:t>识别现有决策者、交接点、冲突和能力缺口。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运行模式比较 · model_options</w:t>
      </w:r>
    </w:p>
    <w:p>
      <w:r>
        <w:rPr>
          <w:rFonts w:ascii="Arial Unicode MS" w:hAnsi="Arial Unicode MS" w:eastAsia="Arial Unicode MS"/>
        </w:rPr>
        <w:t>按集中、分散、网络、混合和联邦模式比较职责与成本。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目标与过渡模式 · selected_model</w:t>
      </w:r>
    </w:p>
    <w:p>
      <w:r>
        <w:rPr>
          <w:rFonts w:ascii="Arial Unicode MS" w:hAnsi="Arial Unicode MS" w:eastAsia="Arial Unicode MS"/>
        </w:rPr>
        <w:t>记录选型理由、过渡状态、共享服务和本地责任。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授权章程与岗位 · role_charter</w:t>
      </w:r>
    </w:p>
    <w:p>
      <w:r>
        <w:rPr>
          <w:rFonts w:ascii="Arial Unicode MS" w:hAnsi="Arial Unicode MS" w:eastAsia="Arial Unicode MS"/>
        </w:rPr>
        <w:t>明确岗位职责、决策权限、能力要求和人员容量。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活动级 RACI 与升级 · raci</w:t>
      </w:r>
    </w:p>
    <w:p>
      <w:r>
        <w:rPr>
          <w:rFonts w:ascii="Arial Unicode MS" w:hAnsi="Arial Unicode MS" w:eastAsia="Arial Unicode MS"/>
        </w:rPr>
        <w:t>每项活动给出唯一最终负责角色、协作和冲突升级。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试点与转换门 · pilot</w:t>
      </w:r>
    </w:p>
    <w:p>
      <w:r>
        <w:rPr>
          <w:rFonts w:ascii="Arial Unicode MS" w:hAnsi="Arial Unicode MS" w:eastAsia="Arial Unicode MS"/>
        </w:rPr>
        <w:t>定义试点范围、资源、十周节奏、指标和转换出口。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目标运行模式与岗位章程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