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数据安全评估与控制设计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securing-data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安全范围与责任 · scope</w:t>
      </w:r>
    </w:p>
    <w:p>
      <w:r>
        <w:rPr>
          <w:rFonts w:ascii="Arial Unicode MS" w:hAnsi="Arial Unicode MS" w:eastAsia="Arial Unicode MS"/>
        </w:rPr>
        <w:t>说明数据资产、处理链、供应商和共同责任边界。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数据与风险分类 · classification</w:t>
      </w:r>
    </w:p>
    <w:p>
      <w:r>
        <w:rPr>
          <w:rFonts w:ascii="Arial Unicode MS" w:hAnsi="Arial Unicode MS" w:eastAsia="Arial Unicode MS"/>
        </w:rPr>
        <w:t>按用途、敏感性和损害程度确定分类及处理要求。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威胁与暴露 · threats</w:t>
      </w:r>
    </w:p>
    <w:p>
      <w:r>
        <w:rPr>
          <w:rFonts w:ascii="Arial Unicode MS" w:hAnsi="Arial Unicode MS" w:eastAsia="Arial Unicode MS"/>
        </w:rPr>
        <w:t>记录威胁路径、暴露面、既有控制和剩余风险。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身份与访问设计 · access_design</w:t>
      </w:r>
    </w:p>
    <w:p>
      <w:r>
        <w:rPr>
          <w:rFonts w:ascii="Arial Unicode MS" w:hAnsi="Arial Unicode MS" w:eastAsia="Arial Unicode MS"/>
        </w:rPr>
        <w:t>按主体、数据和操作定义最小权限、撤销及拒绝路径。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控制与负向测试 · control_tests</w:t>
      </w:r>
    </w:p>
    <w:p>
      <w:r>
        <w:rPr>
          <w:rFonts w:ascii="Arial Unicode MS" w:hAnsi="Arial Unicode MS" w:eastAsia="Arial Unicode MS"/>
        </w:rPr>
        <w:t>覆盖加密、脱敏、非生产数据、导出、审计和越权测试。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监控事件与响应 · incident</w:t>
      </w:r>
    </w:p>
    <w:p>
      <w:r>
        <w:rPr>
          <w:rFonts w:ascii="Arial Unicode MS" w:hAnsi="Arial Unicode MS" w:eastAsia="Arial Unicode MS"/>
        </w:rPr>
        <w:t>规定日志、告警、事件分级、升级和复盘证据。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例外与残余风险 · residual_risk</w:t>
      </w:r>
    </w:p>
    <w:p>
      <w:r>
        <w:rPr>
          <w:rFonts w:ascii="Arial Unicode MS" w:hAnsi="Arial Unicode MS" w:eastAsia="Arial Unicode MS"/>
        </w:rPr>
        <w:t>说明例外批准、补偿控制、到期与复审。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阶段门与验收 · acceptance_evidence</w:t>
      </w:r>
    </w:p>
    <w:p>
      <w:r>
        <w:rPr>
          <w:rFonts w:ascii="Arial Unicode MS" w:hAnsi="Arial Unicode MS" w:eastAsia="Arial Unicode MS"/>
        </w:rPr>
        <w:t>列出控制测试、角色批准和运营移交的证据。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数据安全评估与控制设计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